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独联体国家投资环境研究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独联体国家投资环境研究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本书出售、求购地址：https://www.jiaokey.com/book/detail/13432860.html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关键词搜索：https://www.jiaokey.com/tag/独联体国家投资环境研究.html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