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钛合金的压力加工</w:t>
      </w:r>
    </w:p>
    <w:p>
      <w:r>
        <w:rPr>
          <w:rFonts w:ascii="宋体" w:hAnsi="宋体" w:eastAsia="宋体"/>
          <w:sz w:val="24"/>
        </w:rPr>
        <w:t>周梦熊，王旭译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钛合金的压力加工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周梦熊，王旭译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航天技术交流中心《航天工艺》编辑部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本书出售、求购地址：https://www.jiaokey.com/book/detail/13431006.html</w:t>
      </w:r>
    </w:p>
    <w:p>
      <w:r>
        <w:t>更多相关图书推荐：https://www.jiaokey.com</w:t>
      </w:r>
    </w:p>
    <w:p>
      <w:r>
        <w:t>周梦熊，王旭译 其他作品：https://www.jiaokey.com/tag/周梦熊，王旭译.html</w:t>
      </w:r>
    </w:p>
    <w:p>
      <w:r>
        <w:t>航天技术交流中心《航天工艺》编辑部 出版图书：https://www.jiaokey.com/tag/航天技术交流中心《航天工艺》编辑部.html</w:t>
      </w:r>
    </w:p>
    <w:p>
      <w:r>
        <w:t>关键词搜索：https://www.jiaokey.com/tag/钛合金的压力加工.html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