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刀具课程设计指导书  成形车刀设计</w:t>
      </w:r>
    </w:p>
    <w:p>
      <w:r>
        <w:rPr>
          <w:rFonts w:ascii="宋体" w:hAnsi="宋体" w:eastAsia="宋体"/>
          <w:sz w:val="24"/>
        </w:rPr>
        <w:t>郑克端编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刀具课程设计指导书  成形车刀设计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陕西机械学院二系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本书出售、求购地址：https://www.jiaokey.com/book/detail/13430115.html</w:t>
      </w:r>
    </w:p>
    <w:p>
      <w:r>
        <w:t>更多相关图书推荐：https://www.jiaokey.com</w:t>
      </w:r>
    </w:p>
    <w:p>
      <w:r>
        <w:t>郑克端编 其他作品：https://www.jiaokey.com/tag/郑克端编.html</w:t>
      </w:r>
    </w:p>
    <w:p>
      <w:r>
        <w:t>陕西机械学院二系 出版图书：https://www.jiaokey.com/tag/陕西机械学院二系.html</w:t>
      </w:r>
    </w:p>
    <w:p>
      <w:r>
        <w:t>关键词搜索：https://www.jiaokey.com/tag/刀具课程设计指导书  成形车刀设计.html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