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营建业加值型营业税实务解析及财税规划</w:t>
      </w:r>
    </w:p>
    <w:p>
      <w:r>
        <w:rPr>
          <w:rFonts w:ascii="宋体" w:hAnsi="宋体" w:eastAsia="宋体"/>
          <w:sz w:val="24"/>
        </w:rPr>
        <w:t>严宗耀编著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营建业加值型营业税实务解析及财税规划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严宗耀编著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台湾汉威出版社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本书出售、求购地址：https://www.jiaokey.com/book/detail/13429229.html</w:t>
      </w:r>
    </w:p>
    <w:p>
      <w:r>
        <w:t>更多相关图书推荐：https://www.jiaokey.com</w:t>
      </w:r>
    </w:p>
    <w:p>
      <w:r>
        <w:t>严宗耀编著 其他作品：https://www.jiaokey.com/tag/严宗耀编著.html</w:t>
      </w:r>
    </w:p>
    <w:p>
      <w:r>
        <w:t>台湾汉威出版社 出版图书：https://www.jiaokey.com/tag/台湾汉威出版社.html</w:t>
      </w:r>
    </w:p>
    <w:p>
      <w:r>
        <w:t>关键词搜索：https://www.jiaokey.com/tag/营建业加值型营业税实务解析及财税规划.html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