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孟子全解</w:t>
      </w:r>
    </w:p>
    <w:p>
      <w:r>
        <w:rPr>
          <w:rFonts w:ascii="宋体" w:hAnsi="宋体" w:eastAsia="宋体"/>
          <w:sz w:val="24"/>
        </w:rPr>
        <w:t>岛田钧一著；范凝介氏注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岛田钧一著；范凝介氏注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东京有精堂出版部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本书出售、求购地址：https://www.jiaokey.com/book/detail/13428263.html</w:t>
      </w:r>
    </w:p>
    <w:p>
      <w:r>
        <w:t>更多相关图书推荐：https://www.jiaokey.com</w:t>
      </w:r>
    </w:p>
    <w:p>
      <w:r>
        <w:t>岛田钧一著；范凝介氏注 其他作品：https://www.jiaokey.com/tag/岛田钧一著；范凝介氏注.html</w:t>
      </w:r>
    </w:p>
    <w:p>
      <w:r>
        <w:t>东京有精堂出版部 出版图书：https://www.jiaokey.com/tag/东京有精堂出版部.html</w:t>
      </w:r>
    </w:p>
    <w:p>
      <w:r>
        <w:t>关键词搜索：https://www.jiaokey.com/tag/孟子全解.html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