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设计发展中国家的知识产权政策</w:t>
      </w:r>
    </w:p>
    <w:p>
      <w:r>
        <w:rPr>
          <w:rFonts w:ascii="宋体" w:hAnsi="宋体" w:eastAsia="宋体"/>
          <w:sz w:val="24"/>
        </w:rPr>
        <w:t>Carlos M Correa著；朱贞艳翻译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设计发展中国家的知识产权政策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Carlos M Correa著；朱贞艳翻译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第三世界网络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本书出售、求购地址：https://www.jiaokey.com/book/detail/13426688.html</w:t>
      </w:r>
    </w:p>
    <w:p>
      <w:r>
        <w:t>更多相关图书推荐：https://www.jiaokey.com</w:t>
      </w:r>
    </w:p>
    <w:p>
      <w:r>
        <w:t>Carlos M Correa著；朱贞艳翻译 其他作品：https://www.jiaokey.com/tag/Carlos M Correa著；朱贞艳翻译.html</w:t>
      </w:r>
    </w:p>
    <w:p>
      <w:r>
        <w:t>第三世界网络 出版图书：https://www.jiaokey.com/tag/第三世界网络.html</w:t>
      </w:r>
    </w:p>
    <w:p>
      <w:r>
        <w:t>关键词搜索：https://www.jiaokey.com/tag/设计发展中国家的知识产权政策.html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