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这是香港特区  3  经济与公共事务  核心课题  作业</w:t>
      </w:r>
    </w:p>
    <w:p>
      <w:r>
        <w:rPr>
          <w:rFonts w:ascii="宋体" w:hAnsi="宋体" w:eastAsia="宋体"/>
          <w:sz w:val="24"/>
        </w:rPr>
        <w:t>方子荣著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这是香港特区  3  经济与公共事务  核心课题  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方子荣著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麦美伦出版社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本书出售、求购地址：https://www.jiaokey.com/book/detail/13420678.html</w:t>
      </w:r>
    </w:p>
    <w:p>
      <w:r>
        <w:t>更多相关图书推荐：https://www.jiaokey.com</w:t>
      </w:r>
    </w:p>
    <w:p>
      <w:r>
        <w:t>方子荣著 其他作品：https://www.jiaokey.com/tag/方子荣著.html</w:t>
      </w:r>
    </w:p>
    <w:p>
      <w:r>
        <w:t>麦美伦出版社 出版图书：https://www.jiaokey.com/tag/麦美伦出版社.html</w:t>
      </w:r>
    </w:p>
    <w:p>
      <w:r>
        <w:t>关键词搜索：https://www.jiaokey.com/tag/这是香港特区  3  经济与公共事务  核心课题  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