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我们吃春天的果子</w:t>
      </w:r>
    </w:p>
    <w:p>
      <w:r>
        <w:rPr>
          <w:rFonts w:ascii="宋体" w:hAnsi="宋体" w:eastAsia="宋体"/>
          <w:sz w:val="24"/>
        </w:rPr>
        <w:t>儿童书局编辑部编辑；陈伯吹，茅可人，徐晋撰稿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我们吃春天的果子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儿童书局编辑部编辑；陈伯吹，茅可人，徐晋撰稿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本书出售、求购地址：https://www.jiaokey.com/book/detail/13419886.html</w:t>
      </w:r>
    </w:p>
    <w:p>
      <w:r>
        <w:t>更多相关图书推荐：https://www.jiaokey.com</w:t>
      </w:r>
    </w:p>
    <w:p>
      <w:r>
        <w:t>儿童书局编辑部编辑；陈伯吹，茅可人，徐晋撰稿 其他作品：https://www.jiaokey.com/tag/儿童书局编辑部编辑；陈伯吹，茅可人，徐晋撰稿.html</w:t>
      </w:r>
    </w:p>
    <w:p>
      <w:r>
        <w:t>儿童书局 出版图书：https://www.jiaokey.com/tag/儿童书局.html</w:t>
      </w:r>
    </w:p>
    <w:p>
      <w:r>
        <w:t>关键词搜索：https://www.jiaokey.com/tag/我们吃春天的果子.html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