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神圣建构与世俗秩序  土族民间信仰与社会生活互动研究</w:t>
      </w:r>
    </w:p>
    <w:p>
      <w:r>
        <w:rPr>
          <w:rFonts w:ascii="宋体" w:hAnsi="宋体" w:eastAsia="宋体"/>
          <w:sz w:val="24"/>
        </w:rPr>
        <w:t>文忠祥著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神圣建构与世俗秩序  土族民间信仰与社会生活互动研究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本书出售、求购地址：https://www.jiaokey.com/book/detail/13418330.html</w:t>
      </w:r>
    </w:p>
    <w:p>
      <w:r>
        <w:t>更多相关图书推荐：https://www.jiaokey.com</w:t>
      </w:r>
    </w:p>
    <w:p>
      <w:r>
        <w:t>文忠祥著 其他作品：https://www.jiaokey.com/tag/文忠祥著.html</w:t>
      </w:r>
    </w:p>
    <w:p>
      <w:r>
        <w:t>关键词搜索：https://www.jiaokey.com/tag/神圣建构与世俗秩序  土族民间信仰与社会生活互动研究.html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