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中国资本市场法制发展报告  2007</w:t>
      </w:r>
    </w:p>
    <w:p>
      <w:r>
        <w:rPr>
          <w:rFonts w:ascii="宋体" w:hAnsi="宋体" w:eastAsia="宋体"/>
          <w:sz w:val="24"/>
        </w:rPr>
        <w:t>桂敏杰主编；黄炜，孙曙伟，胡宝海副主编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中国资本市场法制发展报告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桂敏杰主编；黄炜，孙曙伟，胡宝海副主编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本书出售、求购地址：https://www.jiaokey.com/book/detail/13417187.html</w:t>
      </w:r>
    </w:p>
    <w:p>
      <w:r>
        <w:t>更多相关图书推荐：https://www.jiaokey.com</w:t>
      </w:r>
    </w:p>
    <w:p>
      <w:r>
        <w:t>桂敏杰主编；黄炜，孙曙伟，胡宝海副主编 其他作品：https://www.jiaokey.com/tag/桂敏杰主编；黄炜，孙曙伟，胡宝海副主编.html</w:t>
      </w:r>
    </w:p>
    <w:p>
      <w:r>
        <w:t>法律出版社 出版图书：https://www.jiaokey.com/tag/法律出版社.html</w:t>
      </w:r>
    </w:p>
    <w:p>
      <w:r>
        <w:t>关键词搜索：https://www.jiaokey.com/tag/中国资本市场法制发展报告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