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高级中学商科课程暂行标准</w:t>
      </w:r>
    </w:p>
    <w:p>
      <w:r>
        <w:rPr>
          <w:rFonts w:ascii="宋体" w:hAnsi="宋体" w:eastAsia="宋体"/>
          <w:sz w:val="24"/>
        </w:rPr>
        <w:t>教育部高中商科课程标准起草委员会编订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71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高级中学商科课程暂行标准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教育部高中商科课程标准起草委员会编订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本书出售、求购地址：https://www.jiaokey.com/book/detail/13417164.html</w:t>
      </w:r>
    </w:p>
    <w:p>
      <w:r>
        <w:t>更多相关图书推荐：https://www.jiaokey.com</w:t>
      </w:r>
    </w:p>
    <w:p>
      <w:r>
        <w:t>教育部高中商科课程标准起草委员会编订 其他作品：https://www.jiaokey.com/tag/教育部高中商科课程标准起草委员会编订.html</w:t>
      </w:r>
    </w:p>
    <w:p>
      <w:r>
        <w:t>世界书局 出版图书：https://www.jiaokey.com/tag/世界书局.html</w:t>
      </w:r>
    </w:p>
    <w:p>
      <w:r>
        <w:t>关键词搜索：https://www.jiaokey.com/tag/高级中学商科课程暂行标准.html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