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国家赔偿审判前沿  第1卷  完善刑事赔偿制度研究</w:t>
      </w:r>
    </w:p>
    <w:p>
      <w:r>
        <w:rPr>
          <w:rFonts w:ascii="宋体" w:hAnsi="宋体" w:eastAsia="宋体"/>
          <w:sz w:val="24"/>
        </w:rPr>
        <w:t>孙华璞主编；杨临萍，孙佑海，胡仕浩，余红梅副主编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国家赔偿审判前沿  第1卷  完善刑事赔偿制度研究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孙华璞主编；杨临萍，孙佑海，胡仕浩，余红梅副主编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本书出售、求购地址：https://www.jiaokey.com/book/detail/13416154.html</w:t>
      </w:r>
    </w:p>
    <w:p>
      <w:r>
        <w:t>更多相关图书推荐：https://www.jiaokey.com</w:t>
      </w:r>
    </w:p>
    <w:p>
      <w:r>
        <w:t>孙华璞主编；杨临萍，孙佑海，胡仕浩，余红梅副主编 其他作品：https://www.jiaokey.com/tag/孙华璞主编；杨临萍，孙佑海，胡仕浩，余红梅副主编.html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关键词搜索：https://www.jiaokey.com/tag/国家赔偿审判前沿  第1卷  完善刑事赔偿制度研究.html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