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Web程序设计</w:t>
      </w:r>
    </w:p>
    <w:p>
      <w:r>
        <w:rPr>
          <w:rFonts w:ascii="宋体" w:hAnsi="宋体" w:eastAsia="宋体"/>
          <w:sz w:val="24"/>
        </w:rPr>
        <w:t>祁长兴主编；孙笑微，张晓芬，尹伟静等编著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Web程序设计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祁长兴主编；孙笑微，张晓芬，尹伟静等编著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本书出售、求购地址：https://www.jiaokey.com/book/detail/13415803.html</w:t>
      </w:r>
    </w:p>
    <w:p>
      <w:r>
        <w:t>更多相关图书推荐：https://www.jiaokey.com</w:t>
      </w:r>
    </w:p>
    <w:p>
      <w:r>
        <w:t>祁长兴主编；孙笑微，张晓芬，尹伟静等编著 其他作品：https://www.jiaokey.com/tag/祁长兴主编；孙笑微，张晓芬，尹伟静等编著.html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关键词搜索：https://www.jiaokey.com/tag/ASP.NET Web程序设计.html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