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  关联方关系及其交易的披露、现金流量表</w:t>
      </w:r>
    </w:p>
    <w:p>
      <w:r>
        <w:rPr>
          <w:rFonts w:ascii="宋体" w:hAnsi="宋体" w:eastAsia="宋体"/>
          <w:sz w:val="24"/>
        </w:rPr>
        <w:t>湖南省财政厅印发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  关联方关系及其交易的披露、现金流量表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湖南省财政厅印发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本书出售、求购地址：https://www.jiaokey.com/book/detail/13413091.html</w:t>
      </w:r>
    </w:p>
    <w:p>
      <w:r>
        <w:t>更多相关图书推荐：https://www.jiaokey.com</w:t>
      </w:r>
    </w:p>
    <w:p>
      <w:r>
        <w:t>湖南省财政厅印发 其他作品：https://www.jiaokey.com/tag/湖南省财政厅印发.html</w:t>
      </w:r>
    </w:p>
    <w:p>
      <w:r>
        <w:t>湖南省财政厅 出版图书：https://www.jiaokey.com/tag/湖南省财政厅.html</w:t>
      </w:r>
    </w:p>
    <w:p>
      <w:r>
        <w:t>关键词搜索：https://www.jiaokey.com/tag/企业会计准则  关联方关系及其交易的披露、现金流量表.html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