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超级绘师CG漫画绘制全攻略</w:t>
      </w:r>
    </w:p>
    <w:p>
      <w:r>
        <w:rPr>
          <w:rFonts w:ascii="宋体" w:hAnsi="宋体" w:eastAsia="宋体"/>
          <w:sz w:val="24"/>
        </w:rPr>
        <w:t>（日）里克，（日）四十八，（日）但马美一著；高振丽译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超级绘师CG漫画绘制全攻略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（日）里克，（日）四十八，（日）但马美一著；高振丽译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本书出售、求购地址：https://www.jiaokey.com/book/detail/13411803.html</w:t>
      </w:r>
    </w:p>
    <w:p>
      <w:r>
        <w:t>更多相关图书推荐：https://www.jiaokey.com</w:t>
      </w:r>
    </w:p>
    <w:p>
      <w:r>
        <w:t>（日）里克，（日）四十八，（日）但马美一著；高振丽译 其他作品：https://www.jiaokey.com/tag/（日）里克，（日）四十八，（日）但马美一著；高振丽译.html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关键词搜索：https://www.jiaokey.com/tag/超级绘师CG漫画绘制全攻略.html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