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炼油厂设计与建筑原则</w:t>
      </w:r>
    </w:p>
    <w:p>
      <w:r>
        <w:rPr>
          <w:rFonts w:ascii="宋体" w:hAnsi="宋体" w:eastAsia="宋体"/>
          <w:sz w:val="24"/>
        </w:rPr>
        <w:t>（苏）格拉姆什托科等著（И.С.Голомток）等著；龚慰鹤等译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炼油厂设计与建筑原则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（苏）格拉姆什托科等著（И.С.Голомток）等著；龚慰鹤等译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本书出售、求购地址：https://www.jiaokey.com/book/detail/13411580.html</w:t>
      </w:r>
    </w:p>
    <w:p>
      <w:r>
        <w:t>更多相关图书推荐：https://www.jiaokey.com</w:t>
      </w:r>
    </w:p>
    <w:p>
      <w:r>
        <w:t>（苏）格拉姆什托科等著（И.С.Голомток）等著；龚慰鹤等译 其他作品：https://www.jiaokey.com/tag/（苏）格拉姆什托科等著（И.С.Голомток）等著；龚慰鹤等译.html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关键词搜索：https://www.jiaokey.com/tag/炼油厂设计与建筑原则.html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