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世界名画家画丛  委拉斯贵兹</w:t>
      </w:r>
    </w:p>
    <w:p>
      <w:r>
        <w:rPr>
          <w:rFonts w:ascii="宋体" w:hAnsi="宋体" w:eastAsia="宋体"/>
          <w:sz w:val="24"/>
        </w:rPr>
        <w:t>平野主编；陈玉麟，平野编译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世界名画家画丛  委拉斯贵兹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平野主编；陈玉麟，平野编译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广州：岭南美术出版社；三联书店香港分店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本书出售、求购地址：https://www.jiaokey.com/book/detail/13408129.html</w:t>
      </w:r>
    </w:p>
    <w:p>
      <w:r>
        <w:t>更多相关图书推荐：https://www.jiaokey.com</w:t>
      </w:r>
    </w:p>
    <w:p>
      <w:r>
        <w:t>平野主编；陈玉麟，平野编译 其他作品：https://www.jiaokey.com/tag/平野主编；陈玉麟，平野编译.html</w:t>
      </w:r>
    </w:p>
    <w:p>
      <w:r>
        <w:t>广州：岭南美术出版社；三联书店香港分店 出版图书：https://www.jiaokey.com/tag/广州：岭南美术出版社；三联书店香港分店.html</w:t>
      </w:r>
    </w:p>
    <w:p>
      <w:r>
        <w:t>关键词搜索：https://www.jiaokey.com/tag/世界名画家画丛  委拉斯贵兹.html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