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贵州清水江流域明清土司契约文书  九南篇</w:t>
      </w:r>
    </w:p>
    <w:p>
      <w:r>
        <w:rPr>
          <w:rFonts w:ascii="宋体" w:hAnsi="宋体" w:eastAsia="宋体"/>
          <w:sz w:val="24"/>
        </w:rPr>
        <w:t>高聪，谭洪沛主编；贵州民族文化宫编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贵州清水江流域明清土司契约文书  九南篇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高聪，谭洪沛主编；贵州民族文化宫编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本书出售、求购地址：https://www.jiaokey.com/book/detail/13407927.html</w:t>
      </w:r>
    </w:p>
    <w:p>
      <w:r>
        <w:t>更多相关图书推荐：https://www.jiaokey.com</w:t>
      </w:r>
    </w:p>
    <w:p>
      <w:r>
        <w:t>高聪，谭洪沛主编；贵州民族文化宫编 其他作品：https://www.jiaokey.com/tag/高聪，谭洪沛主编；贵州民族文化宫编.html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关键词搜索：https://www.jiaokey.com/tag/贵州清水江流域明清土司契约文书  九南篇.html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