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新农村建设中的金融法律制度改革与创新研究</w:t>
      </w:r>
    </w:p>
    <w:p>
      <w:r>
        <w:rPr>
          <w:rFonts w:ascii="宋体" w:hAnsi="宋体" w:eastAsia="宋体"/>
          <w:sz w:val="24"/>
        </w:rPr>
        <w:t>岳彩申，张晓东主编；岳彩申，张晓东，刘中杰，王力理，王修祥，冯博，王旭，张书清撰稿人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新农村建设中的金融法律制度改革与创新研究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岳彩申，张晓东主编；岳彩申，张晓东，刘中杰，王力理，王修祥，冯博，王旭，张书清撰稿人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本书出售、求购地址：https://www.jiaokey.com/book/detail/13404076.html</w:t>
      </w:r>
    </w:p>
    <w:p>
      <w:r>
        <w:t>更多相关图书推荐：https://www.jiaokey.com</w:t>
      </w:r>
    </w:p>
    <w:p>
      <w:r>
        <w:t>岳彩申，张晓东主编；岳彩申，张晓东，刘中杰，王力理，王修祥，冯博，王旭，张书清撰稿人 其他作品：https://www.jiaokey.com/tag/岳彩申，张晓东主编；岳彩申，张晓东，刘中杰，王力理，王修祥，冯博，王旭，张书清撰稿人.html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关键词搜索：https://www.jiaokey.com/tag/新农村建设中的金融法律制度改革与创新研究.html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