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2.1动态网站设计案例教程</w:t>
      </w:r>
    </w:p>
    <w:p>
      <w:r>
        <w:rPr>
          <w:rFonts w:ascii="宋体" w:hAnsi="宋体" w:eastAsia="宋体"/>
          <w:sz w:val="24"/>
        </w:rPr>
        <w:t>陈战胜，沈大林主编；王辉，钮文良，王廷梅副主编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2.1动态网站设计案例教程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陈战胜，沈大林主编；王辉，钮文良，王廷梅副主编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本书出售、求购地址：https://www.jiaokey.com/book/detail/13397556.html</w:t>
      </w:r>
    </w:p>
    <w:p>
      <w:r>
        <w:t>更多相关图书推荐：https://www.jiaokey.com</w:t>
      </w:r>
    </w:p>
    <w:p>
      <w:r>
        <w:t>陈战胜，沈大林主编；王辉，钮文良，王廷梅副主编 其他作品：https://www.jiaokey.com/tag/陈战胜，沈大林主编；王辉，钮文良，王廷梅副主编.html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 2.1动态网站设计案例教程.html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