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最新医疗卫生财务经费收支管理工作实施手册</w:t>
      </w:r>
    </w:p>
    <w:p>
      <w:r>
        <w:rPr>
          <w:rFonts w:ascii="宋体" w:hAnsi="宋体" w:eastAsia="宋体"/>
          <w:sz w:val="24"/>
        </w:rPr>
        <w:t>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最新医疗卫生财务经费收支管理工作实施手册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本书出售、求购地址：https://www.jiaokey.com/book/detail/13397380.html</w:t>
      </w:r>
    </w:p>
    <w:p>
      <w:r>
        <w:t>更多相关图书推荐：https://www.jiaokey.com</w:t>
      </w:r>
    </w:p>
    <w:p>
      <w:r>
        <w:t>张博主编 其他作品：https://www.jiaokey.com/tag/张博主编.html</w:t>
      </w:r>
    </w:p>
    <w:p>
      <w:r>
        <w:t>中华图书出版社 出版图书：https://www.jiaokey.com/tag/中华图书出版社.html</w:t>
      </w:r>
    </w:p>
    <w:p>
      <w:r>
        <w:t>关键词搜索：https://www.jiaokey.com/tag/最新医疗卫生财务经费收支管理工作实施手册.html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