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最新《中华人民共和国妇女权益保障法》实施手册</w:t>
      </w:r>
    </w:p>
    <w:p>
      <w:r>
        <w:rPr>
          <w:rFonts w:ascii="宋体" w:hAnsi="宋体" w:eastAsia="宋体"/>
          <w:sz w:val="24"/>
        </w:rPr>
        <w:t>谢江颖主编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最新《中华人民共和国妇女权益保障法》实施手册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本书出售、求购地址：https://www.jiaokey.com/book/detail/13397162.html</w:t>
      </w:r>
    </w:p>
    <w:p>
      <w:r>
        <w:t>更多相关图书推荐：https://www.jiaokey.com</w:t>
      </w:r>
    </w:p>
    <w:p>
      <w:r>
        <w:t>谢江颖主编 其他作品：https://www.jiaokey.com/tag/谢江颖主编.html</w:t>
      </w:r>
    </w:p>
    <w:p>
      <w:r>
        <w:t>当代妇女出版社 出版图书：https://www.jiaokey.com/tag/当代妇女出版社.html</w:t>
      </w:r>
    </w:p>
    <w:p>
      <w:r>
        <w:t>关键词搜索：https://www.jiaokey.com/tag/最新《中华人民共和国妇女权益保障法》实施手册.html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