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卫生行政法</w:t>
      </w:r>
    </w:p>
    <w:p>
      <w:r>
        <w:rPr>
          <w:rFonts w:ascii="宋体" w:hAnsi="宋体" w:eastAsia="宋体"/>
          <w:sz w:val="24"/>
        </w:rPr>
        <w:t>（日）广中佐兵卫著；胡敏译；杨堃校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（日）广中佐兵卫著；胡敏译；杨堃校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本书出售、求购地址：https://www.jiaokey.com/book/detail/13395866.html</w:t>
      </w:r>
    </w:p>
    <w:p>
      <w:r>
        <w:t>更多相关图书推荐：https://www.jiaokey.com</w:t>
      </w:r>
    </w:p>
    <w:p>
      <w:r>
        <w:t>（日）广中佐兵卫著；胡敏译；杨堃校 其他作品：https://www.jiaokey.com/tag/（日）广中佐兵卫著；胡敏译；杨堃校.html</w:t>
      </w:r>
    </w:p>
    <w:p>
      <w:r>
        <w:t>昌明公司 出版图书：https://www.jiaokey.com/tag/昌明公司.html</w:t>
      </w:r>
    </w:p>
    <w:p>
      <w:r>
        <w:t>关键词搜索：https://www.jiaokey.com/tag/卫生行政法.html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