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女子继承权详解</w:t>
      </w:r>
    </w:p>
    <w:p>
      <w:r>
        <w:rPr>
          <w:rFonts w:ascii="宋体" w:hAnsi="宋体" w:eastAsia="宋体"/>
          <w:sz w:val="24"/>
        </w:rPr>
        <w:t>汪澄之编；戴渭清校订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女子继承权详解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汪澄之编；戴渭清校订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本书出售、求购地址：https://www.jiaokey.com/book/detail/13395754.html</w:t>
      </w:r>
    </w:p>
    <w:p>
      <w:r>
        <w:t>更多相关图书推荐：https://www.jiaokey.com</w:t>
      </w:r>
    </w:p>
    <w:p>
      <w:r>
        <w:t>汪澄之编；戴渭清校订 其他作品：https://www.jiaokey.com/tag/汪澄之编；戴渭清校订.html</w:t>
      </w:r>
    </w:p>
    <w:p>
      <w:r>
        <w:t>民治书店 出版图书：https://www.jiaokey.com/tag/民治书店.html</w:t>
      </w:r>
    </w:p>
    <w:p>
      <w:r>
        <w:t>关键词搜索：https://www.jiaokey.com/tag/女子继承权详解.html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