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国民政府诉讼程序状式大全</w:t>
      </w:r>
    </w:p>
    <w:p>
      <w:r>
        <w:rPr>
          <w:rFonts w:ascii="宋体" w:hAnsi="宋体" w:eastAsia="宋体"/>
          <w:sz w:val="24"/>
        </w:rPr>
        <w:t>施沛生编辑；欧阳溪修订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国民政府诉讼程序状式大全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施沛生编辑；欧阳溪修订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本书出售、求购地址：https://www.jiaokey.com/book/detail/13395741.html</w:t>
      </w:r>
    </w:p>
    <w:p>
      <w:r>
        <w:t>更多相关图书推荐：https://www.jiaokey.com</w:t>
      </w:r>
    </w:p>
    <w:p>
      <w:r>
        <w:t>施沛生编辑；欧阳溪修订 其他作品：https://www.jiaokey.com/tag/施沛生编辑；欧阳溪修订.html</w:t>
      </w:r>
    </w:p>
    <w:p>
      <w:r>
        <w:t>上海法学编译社 出版图书：https://www.jiaokey.com/tag/上海法学编译社.html</w:t>
      </w:r>
    </w:p>
    <w:p>
      <w:r>
        <w:t>关键词搜索：https://www.jiaokey.com/tag/国民政府诉讼程序状式大全.html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