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2012国际形势和中国外交蓝皮书</w:t>
      </w:r>
    </w:p>
    <w:p>
      <w:r>
        <w:rPr>
          <w:rFonts w:ascii="宋体" w:hAnsi="宋体" w:eastAsia="宋体"/>
          <w:sz w:val="24"/>
        </w:rPr>
        <w:t>中国国际问题研究所著；曲星主编；董漫远，阮宗泽，刘友法副主编；元简，石泽，杨希雨等编委会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2012国际形势和中国外交蓝皮书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中国国际问题研究所著；曲星主编；董漫远，阮宗泽，刘友法副主编；元简，石泽，杨希雨等编委会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本书出售、求购地址：https://www.jiaokey.com/book/detail/13393435.html</w:t>
      </w:r>
    </w:p>
    <w:p>
      <w:r>
        <w:t>更多相关图书推荐：https://www.jiaokey.com</w:t>
      </w:r>
    </w:p>
    <w:p>
      <w:r>
        <w:t>中国国际问题研究所著；曲星主编；董漫远，阮宗泽，刘友法副主编；元简，石泽，杨希雨等编委会 其他作品：https://www.jiaokey.com/tag/中国国际问题研究所著；曲星主编；董漫远，阮宗泽，刘友法副主编；元简，石泽，杨希雨等编委会.html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关键词搜索：https://www.jiaokey.com/tag/2012国际形势和中国外交蓝皮书.html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