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政协理论与实践  第2辑</w:t>
      </w:r>
    </w:p>
    <w:p>
      <w:r>
        <w:rPr>
          <w:rFonts w:ascii="宋体" w:hAnsi="宋体" w:eastAsia="宋体"/>
          <w:sz w:val="24"/>
        </w:rPr>
        <w:t>杭州市政协理论研究会编；王玉明主编；孙跃，龚志南，王利民副主编；张龙，沈益民，欧燕萍等编辑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政协理论与实践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杭州市政协理论研究会编；王玉明主编；孙跃，龚志南，王利民副主编；张龙，沈益民，欧燕萍等编辑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本书出售、求购地址：https://www.jiaokey.com/book/detail/13393210.html</w:t>
      </w:r>
    </w:p>
    <w:p>
      <w:r>
        <w:t>更多相关图书推荐：https://www.jiaokey.com</w:t>
      </w:r>
    </w:p>
    <w:p>
      <w:r>
        <w:t>杭州市政协理论研究会编；王玉明主编；孙跃，龚志南，王利民副主编；张龙，沈益民，欧燕萍等编辑 其他作品：https://www.jiaokey.com/tag/杭州市政协理论研究会编；王玉明主编；孙跃，龚志南，王利民副主编；张龙，沈益民，欧燕萍等编辑.html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关键词搜索：https://www.jiaokey.com/tag/政协理论与实践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