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  总则、债编、物权</w:t>
      </w:r>
    </w:p>
    <w:p>
      <w:r>
        <w:t>作者：立法院秘书处编</w:t>
      </w:r>
    </w:p>
    <w:p>
      <w:r>
        <w:t>出版社：民智书局,1930.05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民法  总则、债编、物权 评论地址：https://www.jiaokey.com/book/detail/13393055.html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