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新旧刑法异同要旨  总则编</w:t>
      </w:r>
    </w:p>
    <w:p>
      <w:r>
        <w:rPr>
          <w:rFonts w:ascii="宋体" w:hAnsi="宋体" w:eastAsia="宋体"/>
          <w:sz w:val="24"/>
        </w:rPr>
        <w:t>郗朝俊著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新旧刑法异同要旨  总则编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郗朝俊著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首都女子法政讲习所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本书出售、求购地址：https://www.jiaokey.com/book/detail/13393002.html</w:t>
      </w:r>
    </w:p>
    <w:p>
      <w:r>
        <w:t>更多相关图书推荐：https://www.jiaokey.com</w:t>
      </w:r>
    </w:p>
    <w:p>
      <w:r>
        <w:t>郗朝俊著 其他作品：https://www.jiaokey.com/tag/郗朝俊著.html</w:t>
      </w:r>
    </w:p>
    <w:p>
      <w:r>
        <w:t>首都女子法政讲习所 出版图书：https://www.jiaokey.com/tag/首都女子法政讲习所.html</w:t>
      </w:r>
    </w:p>
    <w:p>
      <w:r>
        <w:t>关键词搜索：https://www.jiaokey.com/tag/新旧刑法异同要旨  总则编.html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