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中华民国刑法解释</w:t>
      </w:r>
    </w:p>
    <w:p>
      <w:r>
        <w:rPr>
          <w:rFonts w:ascii="宋体" w:hAnsi="宋体" w:eastAsia="宋体"/>
          <w:sz w:val="24"/>
        </w:rPr>
        <w:t>何葆铭编辑；凌砺深审定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何葆铭编辑；凌砺深审定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本书出售、求购地址：https://www.jiaokey.com/book/detail/13392768.html</w:t>
      </w:r>
    </w:p>
    <w:p>
      <w:r>
        <w:t>更多相关图书推荐：https://www.jiaokey.com</w:t>
      </w:r>
    </w:p>
    <w:p>
      <w:r>
        <w:t>何葆铭编辑；凌砺深审定 其他作品：https://www.jiaokey.com/tag/何葆铭编辑；凌砺深审定.html</w:t>
      </w:r>
    </w:p>
    <w:p>
      <w:r>
        <w:t>上海法政学社 出版图书：https://www.jiaokey.com/tag/上海法政学社.html</w:t>
      </w:r>
    </w:p>
    <w:p>
      <w:r>
        <w:t>关键词搜索：https://www.jiaokey.com/tag/中华民国刑法解释.html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