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诉状新程式  新式标点  下</w:t>
      </w:r>
    </w:p>
    <w:p>
      <w:r>
        <w:rPr>
          <w:rFonts w:ascii="宋体" w:hAnsi="宋体" w:eastAsia="宋体"/>
          <w:sz w:val="24"/>
        </w:rPr>
        <w:t>周孝伯编纂；吴瑞书校阅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诉状新程式  新式标点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周孝伯编纂；吴瑞书校阅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本书出售、求购地址：https://www.jiaokey.com/book/detail/13392764.html</w:t>
      </w:r>
    </w:p>
    <w:p>
      <w:r>
        <w:t>更多相关图书推荐：https://www.jiaokey.com</w:t>
      </w:r>
    </w:p>
    <w:p>
      <w:r>
        <w:t>周孝伯编纂；吴瑞书校阅 其他作品：https://www.jiaokey.com/tag/周孝伯编纂；吴瑞书校阅.html</w:t>
      </w:r>
    </w:p>
    <w:p>
      <w:r>
        <w:t>大达图书供应社 出版图书：https://www.jiaokey.com/tag/大达图书供应社.html</w:t>
      </w:r>
    </w:p>
    <w:p>
      <w:r>
        <w:t>关键词搜索：https://www.jiaokey.com/tag/诉状新程式  新式标点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