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诉讼实用言词辩论规范  2</w:t>
      </w:r>
    </w:p>
    <w:p>
      <w:r>
        <w:rPr>
          <w:rFonts w:ascii="宋体" w:hAnsi="宋体" w:eastAsia="宋体"/>
          <w:sz w:val="24"/>
        </w:rPr>
        <w:t>吴瑞书编辑；沈一冲校阅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诉讼实用言词辩论规范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吴瑞书编辑；沈一冲校阅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本书出售、求购地址：https://www.jiaokey.com/book/detail/13392753.html</w:t>
      </w:r>
    </w:p>
    <w:p>
      <w:r>
        <w:t>更多相关图书推荐：https://www.jiaokey.com</w:t>
      </w:r>
    </w:p>
    <w:p>
      <w:r>
        <w:t>吴瑞书编辑；沈一冲校阅 其他作品：https://www.jiaokey.com/tag/吴瑞书编辑；沈一冲校阅.html</w:t>
      </w:r>
    </w:p>
    <w:p>
      <w:r>
        <w:t>中央书店 出版图书：https://www.jiaokey.com/tag/中央书店.html</w:t>
      </w:r>
    </w:p>
    <w:p>
      <w:r>
        <w:t>关键词搜索：https://www.jiaokey.com/tag/诉讼实用言词辩论规范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