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律师状稿  撰状精华  民刑诉讼公文程式全书</w:t>
      </w:r>
    </w:p>
    <w:p>
      <w:r>
        <w:rPr>
          <w:rFonts w:ascii="宋体" w:hAnsi="宋体" w:eastAsia="宋体"/>
          <w:sz w:val="24"/>
        </w:rPr>
        <w:t>法政研究编辑社编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律师状稿  撰状精华  民刑诉讼公文程式全书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本书出售、求购地址：https://www.jiaokey.com/book/detail/13392744.html</w:t>
      </w:r>
    </w:p>
    <w:p>
      <w:r>
        <w:t>更多相关图书推荐：https://www.jiaokey.com</w:t>
      </w:r>
    </w:p>
    <w:p>
      <w:r>
        <w:t>法政研究编辑社编 其他作品：https://www.jiaokey.com/tag/法政研究编辑社编.html</w:t>
      </w:r>
    </w:p>
    <w:p>
      <w:r>
        <w:t>文光书局 出版图书：https://www.jiaokey.com/tag/文光书局.html</w:t>
      </w:r>
    </w:p>
    <w:p>
      <w:r>
        <w:t>关键词搜索：https://www.jiaokey.com/tag/律师状稿  撰状精华  民刑诉讼公文程式全书.html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