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王羲之书法类编  集字册  3</w:t>
      </w:r>
    </w:p>
    <w:p>
      <w:r>
        <w:rPr>
          <w:rFonts w:ascii="宋体" w:hAnsi="宋体" w:eastAsia="宋体"/>
          <w:sz w:val="24"/>
        </w:rPr>
        <w:t>杨惠东，许晓俊主编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王羲之书法类编  集字册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杨惠东，许晓俊主编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本书出售、求购地址：https://www.jiaokey.com/book/detail/13388939.html</w:t>
      </w:r>
    </w:p>
    <w:p>
      <w:r>
        <w:t>更多相关图书推荐：https://www.jiaokey.com</w:t>
      </w:r>
    </w:p>
    <w:p>
      <w:r>
        <w:t>杨惠东，许晓俊主编 其他作品：https://www.jiaokey.com/tag/杨惠东，许晓俊主编.html</w:t>
      </w:r>
    </w:p>
    <w:p>
      <w:r>
        <w:t>天津人民美术出版社 出版图书：https://www.jiaokey.com/tag/天津人民美术出版社.html</w:t>
      </w:r>
    </w:p>
    <w:p>
      <w:r>
        <w:t>关键词搜索：https://www.jiaokey.com/tag/王羲之书法类编  集字册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