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现阶段的青年运动</w:t>
      </w:r>
    </w:p>
    <w:p>
      <w:r>
        <w:rPr>
          <w:rFonts w:ascii="宋体" w:hAnsi="宋体" w:eastAsia="宋体"/>
          <w:sz w:val="24"/>
        </w:rPr>
        <w:t>雷瑞英，陈木桦编著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现阶段的青年运动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雷瑞英，陈木桦编著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本书出售、求购地址：https://www.jiaokey.com/book/detail/13388473.html</w:t>
      </w:r>
    </w:p>
    <w:p>
      <w:r>
        <w:t>更多相关图书推荐：https://www.jiaokey.com</w:t>
      </w:r>
    </w:p>
    <w:p>
      <w:r>
        <w:t>雷瑞英，陈木桦编著 其他作品：https://www.jiaokey.com/tag/雷瑞英，陈木桦编著.html</w:t>
      </w:r>
    </w:p>
    <w:p>
      <w:r>
        <w:t>建国书店 出版图书：https://www.jiaokey.com/tag/建国书店.html</w:t>
      </w:r>
    </w:p>
    <w:p>
      <w:r>
        <w:t>关键词搜索：https://www.jiaokey.com/tag/现阶段的青年运动.html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