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化学分析操作规程</w:t>
      </w:r>
    </w:p>
    <w:p>
      <w:r>
        <w:rPr>
          <w:rFonts w:ascii="宋体" w:hAnsi="宋体" w:eastAsia="宋体"/>
          <w:sz w:val="24"/>
        </w:rPr>
        <w:t>大冶钢厂中心试验室，武汉大学十二连合编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大冶钢厂中心试验室，武汉大学十二连合编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大冶钢厂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本书出售、求购地址：https://www.jiaokey.com/book/detail/13387308.html</w:t>
      </w:r>
    </w:p>
    <w:p>
      <w:r>
        <w:t>更多相关图书推荐：https://www.jiaokey.com</w:t>
      </w:r>
    </w:p>
    <w:p>
      <w:r>
        <w:t>大冶钢厂中心试验室，武汉大学十二连合编 其他作品：https://www.jiaokey.com/tag/大冶钢厂中心试验室，武汉大学十二连合编.html</w:t>
      </w:r>
    </w:p>
    <w:p>
      <w:r>
        <w:t>大冶钢厂 出版图书：https://www.jiaokey.com/tag/大冶钢厂.html</w:t>
      </w:r>
    </w:p>
    <w:p>
      <w:r>
        <w:t>关键词搜索：https://www.jiaokey.com/tag/化学分析操作规程.html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