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8087应用和程序设计  适用于IBMPC和其他PC</w:t>
      </w:r>
    </w:p>
    <w:p>
      <w:r>
        <w:rPr>
          <w:rFonts w:ascii="宋体" w:hAnsi="宋体" w:eastAsia="宋体"/>
          <w:sz w:val="24"/>
        </w:rPr>
        <w:t>《计算机技术》编辑部编；马启文，王宏译；苏文校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8087应用和程序设计  适用于IBMPC和其他PC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《计算机技术》编辑部编；马启文，王宏译；苏文校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本书出售、求购地址：https://www.jiaokey.com/book/detail/13387290.html</w:t>
      </w:r>
    </w:p>
    <w:p>
      <w:r>
        <w:t>更多相关图书推荐：https://www.jiaokey.com</w:t>
      </w:r>
    </w:p>
    <w:p>
      <w:r>
        <w:t>《计算机技术》编辑部编；马启文，王宏译；苏文校 其他作品：https://www.jiaokey.com/tag/《计算机技术》编辑部编；马启文，王宏译；苏文校.html</w:t>
      </w:r>
    </w:p>
    <w:p>
      <w:r>
        <w:t>关键词搜索：https://www.jiaokey.com/tag/8087应用和程序设计  适用于IBMPC和其他PC.html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