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  下</w:t>
      </w:r>
    </w:p>
    <w:p>
      <w:r>
        <w:rPr>
          <w:rFonts w:ascii="宋体" w:hAnsi="宋体" w:eastAsia="宋体"/>
          <w:sz w:val="24"/>
        </w:rPr>
        <w:t>张放，蔡则祥，王培英编写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张放，蔡则祥，王培英编写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江苏金融专科学校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本书出售、求购地址：https://www.jiaokey.com/book/detail/13386275.html</w:t>
      </w:r>
    </w:p>
    <w:p>
      <w:r>
        <w:t>更多相关图书推荐：https://www.jiaokey.com</w:t>
      </w:r>
    </w:p>
    <w:p>
      <w:r>
        <w:t>张放，蔡则祥，王培英编写 其他作品：https://www.jiaokey.com/tag/张放，蔡则祥，王培英编写.html</w:t>
      </w:r>
    </w:p>
    <w:p>
      <w:r>
        <w:t>江苏金融专科学校 出版图书：https://www.jiaokey.com/tag/江苏金融专科学校.html</w:t>
      </w:r>
    </w:p>
    <w:p>
      <w:r>
        <w:t>关键词搜索：https://www.jiaokey.com/tag/货币银行学教程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