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当代水彩画技法e基础篇风景篇静物篇人物篇</w:t>
      </w:r>
    </w:p>
    <w:p>
      <w:r>
        <w:rPr>
          <w:rFonts w:ascii="宋体" w:hAnsi="宋体" w:eastAsia="宋体"/>
          <w:sz w:val="24"/>
        </w:rPr>
        <w:t>赖进义著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当代水彩画技法e基础篇风景篇静物篇人物篇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赖进义著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喜年来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本书出售、求购地址：https://www.jiaokey.com/book/detail/13385769.html</w:t>
      </w:r>
    </w:p>
    <w:p>
      <w:r>
        <w:t>更多相关图书推荐：https://www.jiaokey.com</w:t>
      </w:r>
    </w:p>
    <w:p>
      <w:r>
        <w:t>赖进义著 其他作品：https://www.jiaokey.com/tag/赖进义著.html</w:t>
      </w:r>
    </w:p>
    <w:p>
      <w:r>
        <w:t>喜年来 出版图书：https://www.jiaokey.com/tag/喜年来.html</w:t>
      </w:r>
    </w:p>
    <w:p>
      <w:r>
        <w:t>关键词搜索：https://www.jiaokey.com/tag/当代水彩画技法e基础篇风景篇静物篇人物篇.html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