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关贸总协定基本知识及对策80题</w:t>
      </w:r>
    </w:p>
    <w:p>
      <w:r>
        <w:rPr>
          <w:rFonts w:ascii="宋体" w:hAnsi="宋体" w:eastAsia="宋体"/>
          <w:sz w:val="24"/>
        </w:rPr>
        <w:t>哲夫主编；中共广东省委党校社会培训部，广州市国营农工商联合总公司编写；哲夫主编；单柏平，钟立功副主编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关贸总协定基本知识及对策80题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哲夫主编；中共广东省委党校社会培训部，广州市国营农工商联合总公司编写；哲夫主编；单柏平，钟立功副主编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本书出售、求购地址：https://www.jiaokey.com/book/detail/13384171.html</w:t>
      </w:r>
    </w:p>
    <w:p>
      <w:r>
        <w:t>更多相关图书推荐：https://www.jiaokey.com</w:t>
      </w:r>
    </w:p>
    <w:p>
      <w:r>
        <w:t>哲夫主编；中共广东省委党校社会培训部，广州市国营农工商联合总公司编写；哲夫主编；单柏平，钟立功副主编 其他作品：https://www.jiaokey.com/tag/哲夫主编；中共广东省委党校社会培训部，广州市国营农工商联合总公司编写；哲夫主编；单柏平，钟立功副主编.html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关键词搜索：https://www.jiaokey.com/tag/关贸总协定基本知识及对策80题.html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