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CS3实用案例教程</w:t>
      </w:r>
    </w:p>
    <w:p>
      <w:r>
        <w:rPr>
          <w:rFonts w:ascii="宋体" w:hAnsi="宋体" w:eastAsia="宋体"/>
          <w:sz w:val="24"/>
        </w:rPr>
        <w:t>余庆军，杨伟策主编；刘超亮，李亮副，黄金福，雷全智主编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CS3实用案例教程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余庆军，杨伟策主编；刘超亮，李亮副，黄金福，雷全智主编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本书出售、求购地址：https://www.jiaokey.com/book/detail/13377285.html</w:t>
      </w:r>
    </w:p>
    <w:p>
      <w:r>
        <w:t>更多相关图书推荐：https://www.jiaokey.com</w:t>
      </w:r>
    </w:p>
    <w:p>
      <w:r>
        <w:t>余庆军，杨伟策主编；刘超亮，李亮副，黄金福，雷全智主编 其他作品：https://www.jiaokey.com/tag/余庆军，杨伟策主编；刘超亮，李亮副，黄金福，雷全智主编.html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关键词搜索：https://www.jiaokey.com/tag/Premiere Pro CS3实用案例教程.html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