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弗晰（模糊）逻辑极其若干理论问题</w:t>
      </w:r>
    </w:p>
    <w:p>
      <w:r>
        <w:rPr>
          <w:rFonts w:ascii="宋体" w:hAnsi="宋体" w:eastAsia="宋体"/>
          <w:sz w:val="24"/>
        </w:rPr>
        <w:t>王雨田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弗晰（模糊）逻辑极其若干理论问题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湖南师院政治系湖南省逻辑研究会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本书出售、求购地址：https://www.jiaokey.com/book/detail/13372430.html</w:t>
      </w:r>
    </w:p>
    <w:p>
      <w:r>
        <w:t>更多相关图书推荐：https://www.jiaokey.com</w:t>
      </w:r>
    </w:p>
    <w:p>
      <w:r>
        <w:t>王雨田 其他作品：https://www.jiaokey.com/tag/王雨田.html</w:t>
      </w:r>
    </w:p>
    <w:p>
      <w:r>
        <w:t>湖南师院政治系湖南省逻辑研究会 出版图书：https://www.jiaokey.com/tag/湖南师院政治系湖南省逻辑研究会.html</w:t>
      </w:r>
    </w:p>
    <w:p>
      <w:r>
        <w:t>关键词搜索：https://www.jiaokey.com/tag/弗晰（模糊）逻辑极其若干理论问题.html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