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珠宝靴</w:t>
      </w:r>
    </w:p>
    <w:p>
      <w:r>
        <w:rPr>
          <w:rFonts w:ascii="宋体" w:hAnsi="宋体" w:eastAsia="宋体"/>
          <w:sz w:val="24"/>
        </w:rPr>
        <w:t>（意）卡尔维诺著；姜春香编译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珠宝靴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本书出售、求购地址：https://www.jiaokey.com/book/detail/13371545.html</w:t>
      </w:r>
    </w:p>
    <w:p>
      <w:r>
        <w:t>更多相关图书推荐：https://www.jiaokey.com</w:t>
      </w:r>
    </w:p>
    <w:p>
      <w:r>
        <w:t>（意）卡尔维诺著；姜春香编译 其他作品：https://www.jiaokey.com/tag/（意）卡尔维诺著；姜春香编译.html</w:t>
      </w:r>
    </w:p>
    <w:p>
      <w:r>
        <w:t>北京:现代出版社,2013.02 出版图书：https://www.jiaokey.com/tag/北京:现代出版社,2013.02.html</w:t>
      </w:r>
    </w:p>
    <w:p>
      <w:r>
        <w:t>关键词搜索：https://www.jiaokey.com/tag/儿童文学-作品综合集-意大利-现代.html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