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余姚精武  1988-2000</w:t>
      </w:r>
    </w:p>
    <w:p>
      <w:r>
        <w:rPr>
          <w:rFonts w:ascii="宋体" w:hAnsi="宋体" w:eastAsia="宋体"/>
          <w:sz w:val="24"/>
        </w:rPr>
        <w:t>符永江主编；杨颖，范志强，符飞云副主编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余姚精武  1988-2000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符永江主编；杨颖，范志强，符飞云副主编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本书出售、求购地址：https://www.jiaokey.com/book/detail/13368428.html</w:t>
      </w:r>
    </w:p>
    <w:p>
      <w:r>
        <w:t>更多相关图书推荐：https://www.jiaokey.com</w:t>
      </w:r>
    </w:p>
    <w:p>
      <w:r>
        <w:t>符永江主编；杨颖，范志强，符飞云副主编 其他作品：https://www.jiaokey.com/tag/符永江主编；杨颖，范志强，符飞云副主编.html</w:t>
      </w:r>
    </w:p>
    <w:p>
      <w:r>
        <w:t>关键词搜索：https://www.jiaokey.com/tag/余姚精武  1988-2000.html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