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主动成像与距离选通</w:t>
      </w:r>
    </w:p>
    <w:p>
      <w:r>
        <w:rPr>
          <w:rFonts w:ascii="宋体" w:hAnsi="宋体" w:eastAsia="宋体"/>
          <w:sz w:val="24"/>
        </w:rPr>
        <w:t>于前洋，许武主编；王成，张涛副主编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主动成像与距离选通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于前洋，许武主编；王成，张涛副主编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中国科学院长春光学精密机械与物理研究所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本书出售、求购地址：https://www.jiaokey.com/book/detail/13368212.html</w:t>
      </w:r>
    </w:p>
    <w:p>
      <w:r>
        <w:t>更多相关图书推荐：https://www.jiaokey.com</w:t>
      </w:r>
    </w:p>
    <w:p>
      <w:r>
        <w:t>于前洋，许武主编；王成，张涛副主编 其他作品：https://www.jiaokey.com/tag/于前洋，许武主编；王成，张涛副主编.html</w:t>
      </w:r>
    </w:p>
    <w:p>
      <w:r>
        <w:t>中国科学院长春光学精密机械与物理研究所 出版图书：https://www.jiaokey.com/tag/中国科学院长春光学精密机械与物理研究所.html</w:t>
      </w:r>
    </w:p>
    <w:p>
      <w:r>
        <w:t>关键词搜索：https://www.jiaokey.com/tag/主动成像与距离选通.html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