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人工自然  2012国际景观设计趋势</w:t>
      </w:r>
    </w:p>
    <w:p>
      <w:r>
        <w:rPr>
          <w:rFonts w:ascii="宋体" w:hAnsi="宋体" w:eastAsia="宋体"/>
          <w:sz w:val="24"/>
        </w:rPr>
        <w:t>韩国建筑世界出版社编；李硕，赵翾翀，赵珊珊，时跃，胡筱狄译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人工自然  2012国际景观设计趋势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韩国建筑世界出版社编；李硕，赵翾翀，赵珊珊，时跃，胡筱狄译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本书出售、求购地址：https://www.jiaokey.com/book/detail/13367284.html</w:t>
      </w:r>
    </w:p>
    <w:p>
      <w:r>
        <w:t>更多相关图书推荐：https://www.jiaokey.com</w:t>
      </w:r>
    </w:p>
    <w:p>
      <w:r>
        <w:t>韩国建筑世界出版社编；李硕，赵翾翀，赵珊珊，时跃，胡筱狄译 其他作品：https://www.jiaokey.com/tag/韩国建筑世界出版社编；李硕，赵翾翀，赵珊珊，时跃，胡筱狄译.html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关键词搜索：https://www.jiaokey.com/tag/人工自然  2012国际景观设计趋势.html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