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中央亚细亚地图是怎样产生的</w:t>
      </w:r>
    </w:p>
    <w:p>
      <w:r>
        <w:rPr>
          <w:rFonts w:ascii="宋体" w:hAnsi="宋体" w:eastAsia="宋体"/>
          <w:sz w:val="24"/>
        </w:rPr>
        <w:t>（苏）H.M.休金娜著；姬增禄，阎菊玲译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中央亚细亚地图是怎样产生的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（苏）H.M.休金娜著；姬增禄，阎菊玲译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本书出售、求购地址：https://www.jiaokey.com/book/detail/13365836.html</w:t>
      </w:r>
    </w:p>
    <w:p>
      <w:r>
        <w:t>更多相关图书推荐：https://www.jiaokey.com</w:t>
      </w:r>
    </w:p>
    <w:p>
      <w:r>
        <w:t>（苏）H.M.休金娜著；姬增禄，阎菊玲译 其他作品：https://www.jiaokey.com/tag/（苏）H.M.休金娜著；姬增禄，阎菊玲译.html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关键词搜索：https://www.jiaokey.com/tag/中央亚细亚地图是怎样产生的.html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