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本草备要  木、果豰菜、金石水土、禽兽部</w:t>
      </w:r>
    </w:p>
    <w:p>
      <w:r>
        <w:rPr>
          <w:rFonts w:ascii="宋体" w:hAnsi="宋体" w:eastAsia="宋体"/>
          <w:sz w:val="24"/>
        </w:rPr>
        <w:t>（清）汪昂撰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本草备要  木、果豰菜、金石水土、禽兽部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本书出售、求购地址：https://www.jiaokey.com/book/detail/13358931.html</w:t>
      </w:r>
    </w:p>
    <w:p>
      <w:r>
        <w:t>更多相关图书推荐：https://www.jiaokey.com</w:t>
      </w:r>
    </w:p>
    <w:p>
      <w:r>
        <w:t>（清）汪昂撰 其他作品：https://www.jiaokey.com/tag/（清）汪昂撰.html</w:t>
      </w:r>
    </w:p>
    <w:p>
      <w:r>
        <w:t>关键词搜索：https://www.jiaokey.com/tag/本草备要  木、果豰菜、金石水土、禽兽部.html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