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30年温氏发展轨迹的制度性解析</w:t>
      </w:r>
    </w:p>
    <w:p>
      <w:r>
        <w:rPr>
          <w:rFonts w:ascii="宋体" w:hAnsi="宋体" w:eastAsia="宋体"/>
          <w:sz w:val="24"/>
        </w:rPr>
        <w:t>胡浩民，张乐柱主编；向安强，温志芬副主编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30年温氏发展轨迹的制度性解析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胡浩民，张乐柱主编；向安强，温志芬副主编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本书出售、求购地址：https://www.jiaokey.com/book/detail/13356299.html</w:t>
      </w:r>
    </w:p>
    <w:p>
      <w:r>
        <w:t>更多相关图书推荐：https://www.jiaokey.com</w:t>
      </w:r>
    </w:p>
    <w:p>
      <w:r>
        <w:t>胡浩民，张乐柱主编；向安强，温志芬副主编 其他作品：https://www.jiaokey.com/tag/胡浩民，张乐柱主编；向安强，温志芬副主编.html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关键词搜索：https://www.jiaokey.com/tag/30年温氏发展轨迹的制度性解析.html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