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企业与美术设计  商业美术设计讲座</w:t>
      </w:r>
    </w:p>
    <w:p>
      <w:r>
        <w:rPr>
          <w:rFonts w:ascii="宋体" w:hAnsi="宋体" w:eastAsia="宋体"/>
          <w:sz w:val="24"/>
        </w:rPr>
        <w:t>（日）帆足实生，稻垣行一郎著；吕清夫译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企业与美术设计  商业美术设计讲座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（日）帆足实生，稻垣行一郎著；吕清夫译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本书出售、求购地址：https://www.jiaokey.com/book/detail/13356179.html</w:t>
      </w:r>
    </w:p>
    <w:p>
      <w:r>
        <w:t>更多相关图书推荐：https://www.jiaokey.com</w:t>
      </w:r>
    </w:p>
    <w:p>
      <w:r>
        <w:t>（日）帆足实生，稻垣行一郎著；吕清夫译 其他作品：https://www.jiaokey.com/tag/（日）帆足实生，稻垣行一郎著；吕清夫译.html</w:t>
      </w:r>
    </w:p>
    <w:p>
      <w:r>
        <w:t>大陆书店 出版图书：https://www.jiaokey.com/tag/大陆书店.html</w:t>
      </w:r>
    </w:p>
    <w:p>
      <w:r>
        <w:t>关键词搜索：https://www.jiaokey.com/tag/企业与美术设计  商业美术设计讲座.html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